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0E0D" w14:textId="77777777" w:rsidR="00237679" w:rsidRPr="00A3750E" w:rsidRDefault="00237679" w:rsidP="00251048">
      <w:pPr>
        <w:pStyle w:val="Title"/>
        <w:ind w:left="0"/>
        <w:rPr>
          <w:rFonts w:ascii="Calibri" w:hAnsi="Calibri" w:cs="Calibri"/>
        </w:rPr>
      </w:pPr>
      <w:r w:rsidRPr="00A3750E">
        <w:rPr>
          <w:rFonts w:ascii="Calibri" w:hAnsi="Calibri" w:cs="Calibri"/>
        </w:rPr>
        <w:t>Title of Policy:</w:t>
      </w:r>
      <w:r w:rsidR="00DF37D3" w:rsidRPr="00A3750E">
        <w:rPr>
          <w:rFonts w:ascii="Calibri" w:hAnsi="Calibri" w:cs="Calibri"/>
        </w:rPr>
        <w:t xml:space="preserve"> </w:t>
      </w:r>
    </w:p>
    <w:p w14:paraId="7992107D" w14:textId="77777777" w:rsidR="006733E3" w:rsidRPr="00A3750E" w:rsidRDefault="006733E3" w:rsidP="00251048">
      <w:pPr>
        <w:pStyle w:val="Title"/>
        <w:ind w:left="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95"/>
        <w:gridCol w:w="4795"/>
      </w:tblGrid>
      <w:tr w:rsidR="006733E3" w:rsidRPr="00A3750E" w14:paraId="12842ED5" w14:textId="77777777" w:rsidTr="271080D7">
        <w:tc>
          <w:tcPr>
            <w:tcW w:w="4795" w:type="dxa"/>
          </w:tcPr>
          <w:p w14:paraId="738F90B4" w14:textId="77777777" w:rsidR="00C738B5" w:rsidRPr="00A3750E" w:rsidRDefault="00C738B5" w:rsidP="00251048">
            <w:pPr>
              <w:pStyle w:val="Title"/>
              <w:ind w:left="0"/>
              <w:rPr>
                <w:rFonts w:ascii="Calibri" w:hAnsi="Calibri" w:cs="Calibri"/>
              </w:rPr>
            </w:pPr>
            <w:r w:rsidRPr="00A3750E">
              <w:rPr>
                <w:rFonts w:ascii="Calibri" w:hAnsi="Calibri" w:cs="Calibri"/>
              </w:rPr>
              <w:t>Office of Administrative Responsibility:</w:t>
            </w:r>
          </w:p>
          <w:p w14:paraId="65AF4EFC" w14:textId="77777777" w:rsidR="00C55284" w:rsidRPr="00A3750E" w:rsidRDefault="00C55284" w:rsidP="00251048">
            <w:pPr>
              <w:pStyle w:val="Title"/>
              <w:ind w:left="0"/>
              <w:rPr>
                <w:rFonts w:ascii="Calibri" w:hAnsi="Calibri" w:cs="Calibri"/>
              </w:rPr>
            </w:pPr>
          </w:p>
          <w:p w14:paraId="117614A8" w14:textId="16CF665D" w:rsidR="00C738B5" w:rsidRPr="00A3750E" w:rsidRDefault="00AA27B2" w:rsidP="00C738B5">
            <w:pPr>
              <w:pStyle w:val="Title"/>
              <w:ind w:left="0"/>
              <w:rPr>
                <w:rFonts w:ascii="Calibri" w:hAnsi="Calibri" w:cs="Calibri"/>
              </w:rPr>
            </w:pPr>
            <w:r w:rsidRPr="00A3750E">
              <w:rPr>
                <w:rFonts w:ascii="Calibri" w:hAnsi="Calibri" w:cs="Calibri"/>
              </w:rPr>
              <w:t>Policy Owner (Sponsor)</w:t>
            </w:r>
            <w:r w:rsidR="00C738B5" w:rsidRPr="00A3750E">
              <w:rPr>
                <w:rFonts w:ascii="Calibri" w:hAnsi="Calibri" w:cs="Calibri"/>
              </w:rPr>
              <w:t>:</w:t>
            </w:r>
          </w:p>
          <w:p w14:paraId="7A033536" w14:textId="77777777" w:rsidR="00C55284" w:rsidRPr="00A3750E" w:rsidRDefault="00C55284" w:rsidP="00251048">
            <w:pPr>
              <w:pStyle w:val="Title"/>
              <w:ind w:left="0"/>
              <w:rPr>
                <w:rFonts w:ascii="Calibri" w:hAnsi="Calibri" w:cs="Calibri"/>
              </w:rPr>
            </w:pPr>
          </w:p>
          <w:p w14:paraId="681D640E" w14:textId="77777777" w:rsidR="00C738B5" w:rsidRPr="00A3750E" w:rsidRDefault="00C738B5" w:rsidP="00251048">
            <w:pPr>
              <w:pStyle w:val="Title"/>
              <w:ind w:left="0"/>
              <w:rPr>
                <w:rFonts w:ascii="Calibri" w:hAnsi="Calibri" w:cs="Calibri"/>
              </w:rPr>
            </w:pPr>
            <w:r w:rsidRPr="00A3750E">
              <w:rPr>
                <w:rFonts w:ascii="Calibri" w:hAnsi="Calibri" w:cs="Calibri"/>
              </w:rPr>
              <w:t>Approving Body:</w:t>
            </w:r>
          </w:p>
        </w:tc>
        <w:tc>
          <w:tcPr>
            <w:tcW w:w="4795" w:type="dxa"/>
          </w:tcPr>
          <w:p w14:paraId="4A946EA3" w14:textId="77777777" w:rsidR="006733E3" w:rsidRPr="00A3750E" w:rsidRDefault="006733E3" w:rsidP="00251048">
            <w:pPr>
              <w:pStyle w:val="Title"/>
              <w:ind w:left="0"/>
              <w:rPr>
                <w:rFonts w:ascii="Calibri" w:hAnsi="Calibri" w:cs="Calibri"/>
              </w:rPr>
            </w:pPr>
            <w:r w:rsidRPr="00A3750E">
              <w:rPr>
                <w:rFonts w:ascii="Calibri" w:hAnsi="Calibri" w:cs="Calibri"/>
              </w:rPr>
              <w:t>Category:</w:t>
            </w:r>
          </w:p>
          <w:p w14:paraId="3B653F3A" w14:textId="77777777" w:rsidR="006733E3" w:rsidRPr="00A3750E" w:rsidRDefault="006733E3" w:rsidP="00251048">
            <w:pPr>
              <w:pStyle w:val="Title"/>
              <w:ind w:left="0"/>
              <w:rPr>
                <w:rFonts w:ascii="Calibri" w:hAnsi="Calibri" w:cs="Calibri"/>
              </w:rPr>
            </w:pPr>
            <w:r w:rsidRPr="00A3750E">
              <w:rPr>
                <w:rFonts w:ascii="Calibri" w:hAnsi="Calibri" w:cs="Calibri"/>
              </w:rPr>
              <w:t>Policy Number</w:t>
            </w:r>
            <w:r w:rsidR="002E11FB" w:rsidRPr="00A3750E">
              <w:rPr>
                <w:rFonts w:ascii="Calibri" w:hAnsi="Calibri" w:cs="Calibri"/>
              </w:rPr>
              <w:t>:</w:t>
            </w:r>
          </w:p>
          <w:p w14:paraId="33B3A96C" w14:textId="77777777" w:rsidR="006D7B74" w:rsidRPr="00A3750E" w:rsidRDefault="006D7B74" w:rsidP="00251048">
            <w:pPr>
              <w:pStyle w:val="Title"/>
              <w:ind w:left="0"/>
              <w:rPr>
                <w:rFonts w:ascii="Calibri" w:hAnsi="Calibri" w:cs="Calibri"/>
              </w:rPr>
            </w:pPr>
          </w:p>
          <w:p w14:paraId="36377002" w14:textId="77777777" w:rsidR="006733E3" w:rsidRPr="00A3750E" w:rsidRDefault="006819B5" w:rsidP="271080D7">
            <w:pPr>
              <w:pStyle w:val="Title"/>
              <w:ind w:left="0"/>
              <w:rPr>
                <w:rFonts w:ascii="Calibri" w:hAnsi="Calibri" w:cs="Calibri"/>
              </w:rPr>
            </w:pPr>
            <w:r w:rsidRPr="00A3750E">
              <w:rPr>
                <w:rFonts w:ascii="Calibri" w:hAnsi="Calibri" w:cs="Calibri"/>
              </w:rPr>
              <w:t>Last</w:t>
            </w:r>
            <w:r w:rsidR="002E11FB" w:rsidRPr="00A3750E">
              <w:rPr>
                <w:rFonts w:ascii="Calibri" w:hAnsi="Calibri" w:cs="Calibri"/>
              </w:rPr>
              <w:t xml:space="preserve"> Revision Date:</w:t>
            </w:r>
          </w:p>
          <w:p w14:paraId="07D0D1B3" w14:textId="77777777" w:rsidR="002E11FB" w:rsidRPr="00A3750E" w:rsidRDefault="002E11FB" w:rsidP="00251048">
            <w:pPr>
              <w:pStyle w:val="Title"/>
              <w:ind w:left="0"/>
              <w:rPr>
                <w:rFonts w:ascii="Calibri" w:hAnsi="Calibri" w:cs="Calibri"/>
              </w:rPr>
            </w:pPr>
            <w:r w:rsidRPr="00A3750E">
              <w:rPr>
                <w:rFonts w:ascii="Calibri" w:hAnsi="Calibri" w:cs="Calibri"/>
              </w:rPr>
              <w:t>Effective Date:</w:t>
            </w:r>
          </w:p>
          <w:p w14:paraId="710972C0" w14:textId="77777777" w:rsidR="002E11FB" w:rsidRPr="00A3750E" w:rsidRDefault="002E11FB" w:rsidP="00251048">
            <w:pPr>
              <w:pStyle w:val="Title"/>
              <w:ind w:left="0"/>
              <w:rPr>
                <w:rFonts w:ascii="Calibri" w:hAnsi="Calibri" w:cs="Calibri"/>
              </w:rPr>
            </w:pPr>
            <w:r w:rsidRPr="00A3750E">
              <w:rPr>
                <w:rFonts w:ascii="Calibri" w:hAnsi="Calibri" w:cs="Calibri"/>
              </w:rPr>
              <w:t>Next Review Date:</w:t>
            </w:r>
          </w:p>
        </w:tc>
      </w:tr>
    </w:tbl>
    <w:p w14:paraId="74055740" w14:textId="77777777" w:rsidR="00376EFA" w:rsidRPr="00A3750E" w:rsidRDefault="00376EFA" w:rsidP="001A3134">
      <w:pPr>
        <w:pStyle w:val="BodyText"/>
      </w:pPr>
    </w:p>
    <w:p w14:paraId="3CDC1853" w14:textId="77777777" w:rsidR="00376EFA" w:rsidRPr="00A3750E" w:rsidRDefault="006F0467" w:rsidP="001A3134">
      <w:pPr>
        <w:pStyle w:val="Heading2"/>
      </w:pPr>
      <w:r w:rsidRPr="00A3750E">
        <w:t>Purpose:</w:t>
      </w:r>
    </w:p>
    <w:p w14:paraId="629E025D" w14:textId="77777777" w:rsidR="00376EFA" w:rsidRPr="00A3750E" w:rsidRDefault="006F0467" w:rsidP="001A3134">
      <w:pPr>
        <w:pStyle w:val="BodyText"/>
      </w:pPr>
      <w:r w:rsidRPr="00A3750E">
        <w:t>State</w:t>
      </w:r>
      <w:r w:rsidRPr="00A3750E">
        <w:rPr>
          <w:spacing w:val="-5"/>
        </w:rPr>
        <w:t xml:space="preserve"> </w:t>
      </w:r>
      <w:r w:rsidRPr="00A3750E">
        <w:t>the</w:t>
      </w:r>
      <w:r w:rsidRPr="00A3750E">
        <w:rPr>
          <w:spacing w:val="-4"/>
        </w:rPr>
        <w:t xml:space="preserve"> </w:t>
      </w:r>
      <w:r w:rsidRPr="00A3750E">
        <w:t>overarching</w:t>
      </w:r>
      <w:r w:rsidRPr="00A3750E">
        <w:rPr>
          <w:spacing w:val="-3"/>
        </w:rPr>
        <w:t xml:space="preserve"> </w:t>
      </w:r>
      <w:r w:rsidRPr="00A3750E">
        <w:t>purpose</w:t>
      </w:r>
      <w:r w:rsidRPr="00A3750E">
        <w:rPr>
          <w:spacing w:val="-4"/>
        </w:rPr>
        <w:t xml:space="preserve"> </w:t>
      </w:r>
      <w:r w:rsidRPr="00A3750E">
        <w:t>of</w:t>
      </w:r>
      <w:r w:rsidRPr="00A3750E">
        <w:rPr>
          <w:spacing w:val="-5"/>
        </w:rPr>
        <w:t xml:space="preserve"> </w:t>
      </w:r>
      <w:r w:rsidRPr="00A3750E">
        <w:t>the</w:t>
      </w:r>
      <w:r w:rsidRPr="00A3750E">
        <w:rPr>
          <w:spacing w:val="-1"/>
        </w:rPr>
        <w:t xml:space="preserve"> </w:t>
      </w:r>
      <w:r w:rsidRPr="00A3750E">
        <w:rPr>
          <w:spacing w:val="-2"/>
        </w:rPr>
        <w:t>policy</w:t>
      </w:r>
      <w:r w:rsidR="00A03FA2" w:rsidRPr="00A3750E">
        <w:rPr>
          <w:spacing w:val="-2"/>
        </w:rPr>
        <w:t xml:space="preserve"> (the “why?”)</w:t>
      </w:r>
      <w:r w:rsidR="0012283F" w:rsidRPr="00A3750E">
        <w:rPr>
          <w:spacing w:val="-2"/>
        </w:rPr>
        <w:t>.</w:t>
      </w:r>
    </w:p>
    <w:p w14:paraId="62CD9E4C" w14:textId="77777777" w:rsidR="00376EFA" w:rsidRPr="00A3750E" w:rsidRDefault="00376EFA" w:rsidP="001A3134">
      <w:pPr>
        <w:pStyle w:val="BodyText"/>
      </w:pPr>
    </w:p>
    <w:p w14:paraId="053EB4C3" w14:textId="77777777" w:rsidR="00376EFA" w:rsidRPr="00A3750E" w:rsidRDefault="006F0467" w:rsidP="271080D7">
      <w:pPr>
        <w:pStyle w:val="Heading2"/>
      </w:pPr>
      <w:r w:rsidRPr="00A3750E">
        <w:t>Principles:</w:t>
      </w:r>
    </w:p>
    <w:p w14:paraId="51A94693" w14:textId="47780EBB" w:rsidR="00376EFA" w:rsidRPr="00A3750E" w:rsidRDefault="006F0467" w:rsidP="00251048">
      <w:pPr>
        <w:pStyle w:val="BodyText"/>
      </w:pPr>
      <w:r w:rsidRPr="00A3750E">
        <w:t>Identify</w:t>
      </w:r>
      <w:r w:rsidRPr="00A3750E">
        <w:rPr>
          <w:spacing w:val="-6"/>
        </w:rPr>
        <w:t xml:space="preserve"> </w:t>
      </w:r>
      <w:r w:rsidRPr="00A3750E">
        <w:t>one</w:t>
      </w:r>
      <w:r w:rsidRPr="00A3750E">
        <w:rPr>
          <w:spacing w:val="-5"/>
        </w:rPr>
        <w:t xml:space="preserve"> </w:t>
      </w:r>
      <w:r w:rsidRPr="00A3750E">
        <w:t>or</w:t>
      </w:r>
      <w:r w:rsidRPr="00A3750E">
        <w:rPr>
          <w:spacing w:val="-5"/>
        </w:rPr>
        <w:t xml:space="preserve"> </w:t>
      </w:r>
      <w:r w:rsidRPr="00A3750E">
        <w:t>more</w:t>
      </w:r>
      <w:r w:rsidRPr="00A3750E">
        <w:rPr>
          <w:spacing w:val="-2"/>
        </w:rPr>
        <w:t xml:space="preserve"> </w:t>
      </w:r>
      <w:r w:rsidRPr="00A3750E">
        <w:t>guiding</w:t>
      </w:r>
      <w:r w:rsidRPr="00A3750E">
        <w:rPr>
          <w:spacing w:val="-4"/>
        </w:rPr>
        <w:t xml:space="preserve"> </w:t>
      </w:r>
      <w:r w:rsidRPr="00A3750E">
        <w:t>principles</w:t>
      </w:r>
      <w:r w:rsidRPr="00A3750E">
        <w:rPr>
          <w:spacing w:val="-2"/>
        </w:rPr>
        <w:t xml:space="preserve"> </w:t>
      </w:r>
      <w:r w:rsidRPr="00A3750E">
        <w:t>on</w:t>
      </w:r>
      <w:r w:rsidRPr="00A3750E">
        <w:rPr>
          <w:spacing w:val="-6"/>
        </w:rPr>
        <w:t xml:space="preserve"> </w:t>
      </w:r>
      <w:r w:rsidRPr="00A3750E">
        <w:t>which</w:t>
      </w:r>
      <w:r w:rsidRPr="00A3750E">
        <w:rPr>
          <w:spacing w:val="-4"/>
        </w:rPr>
        <w:t xml:space="preserve"> </w:t>
      </w:r>
      <w:r w:rsidRPr="00A3750E">
        <w:t>this</w:t>
      </w:r>
      <w:r w:rsidRPr="00A3750E">
        <w:rPr>
          <w:spacing w:val="-3"/>
        </w:rPr>
        <w:t xml:space="preserve"> </w:t>
      </w:r>
      <w:r w:rsidRPr="00A3750E">
        <w:t>policy</w:t>
      </w:r>
      <w:r w:rsidRPr="00A3750E">
        <w:rPr>
          <w:spacing w:val="-4"/>
        </w:rPr>
        <w:t xml:space="preserve"> </w:t>
      </w:r>
      <w:r w:rsidRPr="00A3750E">
        <w:t>is</w:t>
      </w:r>
      <w:r w:rsidRPr="00A3750E">
        <w:rPr>
          <w:spacing w:val="-2"/>
        </w:rPr>
        <w:t xml:space="preserve"> founded</w:t>
      </w:r>
      <w:r w:rsidR="00820271">
        <w:rPr>
          <w:spacing w:val="-2"/>
        </w:rPr>
        <w:t>. These principles</w:t>
      </w:r>
      <w:r w:rsidR="00996524">
        <w:rPr>
          <w:spacing w:val="-2"/>
        </w:rPr>
        <w:t xml:space="preserve"> should be aligned with</w:t>
      </w:r>
      <w:r w:rsidR="00A3750E" w:rsidRPr="00A3750E">
        <w:rPr>
          <w:color w:val="1A1A1A"/>
          <w:shd w:val="clear" w:color="auto" w:fill="FFFFFF"/>
        </w:rPr>
        <w:t xml:space="preserve"> the </w:t>
      </w:r>
      <w:r w:rsidR="009A260B">
        <w:rPr>
          <w:color w:val="1A1A1A"/>
          <w:shd w:val="clear" w:color="auto" w:fill="FFFFFF"/>
        </w:rPr>
        <w:t>University’s</w:t>
      </w:r>
      <w:r w:rsidR="00A3750E" w:rsidRPr="00A3750E">
        <w:rPr>
          <w:color w:val="1A1A1A"/>
          <w:shd w:val="clear" w:color="auto" w:fill="FFFFFF"/>
        </w:rPr>
        <w:t xml:space="preserve"> mission, vision, and values statement.</w:t>
      </w:r>
    </w:p>
    <w:p w14:paraId="660555E8" w14:textId="77777777" w:rsidR="00376EFA" w:rsidRPr="00A3750E" w:rsidRDefault="00376EFA" w:rsidP="001A3134">
      <w:pPr>
        <w:pStyle w:val="BodyText"/>
      </w:pPr>
    </w:p>
    <w:p w14:paraId="75BDA3AF" w14:textId="77777777" w:rsidR="0010353A" w:rsidRPr="00A3750E" w:rsidRDefault="0010353A" w:rsidP="0010353A">
      <w:pPr>
        <w:pStyle w:val="Heading2"/>
      </w:pPr>
      <w:r w:rsidRPr="00A3750E">
        <w:t>Policy:</w:t>
      </w:r>
    </w:p>
    <w:p w14:paraId="073D5AD4" w14:textId="77777777" w:rsidR="0010353A" w:rsidRPr="00A3750E" w:rsidRDefault="0010353A" w:rsidP="0010353A">
      <w:pPr>
        <w:pStyle w:val="BodyText"/>
      </w:pPr>
    </w:p>
    <w:p w14:paraId="57D219DB" w14:textId="77777777" w:rsidR="0010353A" w:rsidRPr="00A3750E" w:rsidRDefault="009B5CA1" w:rsidP="00920A15">
      <w:pPr>
        <w:pStyle w:val="BodyText"/>
      </w:pPr>
      <w:r w:rsidRPr="00A3750E">
        <w:rPr>
          <w:rFonts w:eastAsiaTheme="minorHAnsi"/>
          <w:color w:val="000000"/>
        </w:rPr>
        <w:t>A concise statement of the University's position on [topic]. Addresses 'what' and 'why' and is based on guiding principles.</w:t>
      </w:r>
      <w:r w:rsidRPr="00A3750E">
        <w:br/>
      </w:r>
    </w:p>
    <w:p w14:paraId="3236D228" w14:textId="77777777" w:rsidR="00376EFA" w:rsidRPr="00A3750E" w:rsidRDefault="006F0467" w:rsidP="271080D7">
      <w:pPr>
        <w:pStyle w:val="Heading2"/>
      </w:pPr>
      <w:r w:rsidRPr="00A3750E">
        <w:t>Scope</w:t>
      </w:r>
      <w:r w:rsidRPr="00A3750E">
        <w:rPr>
          <w:spacing w:val="-4"/>
        </w:rPr>
        <w:t xml:space="preserve"> </w:t>
      </w:r>
      <w:r w:rsidRPr="00A3750E">
        <w:t>of</w:t>
      </w:r>
      <w:r w:rsidRPr="00A3750E">
        <w:rPr>
          <w:spacing w:val="-2"/>
        </w:rPr>
        <w:t xml:space="preserve"> </w:t>
      </w:r>
      <w:r w:rsidRPr="00A3750E">
        <w:t>this</w:t>
      </w:r>
      <w:r w:rsidRPr="00A3750E">
        <w:rPr>
          <w:spacing w:val="-1"/>
        </w:rPr>
        <w:t xml:space="preserve"> </w:t>
      </w:r>
      <w:r w:rsidRPr="00A3750E">
        <w:rPr>
          <w:spacing w:val="-2"/>
        </w:rPr>
        <w:t>Policy:</w:t>
      </w:r>
    </w:p>
    <w:p w14:paraId="7C291C13" w14:textId="77777777" w:rsidR="00376EFA" w:rsidRPr="00A3750E" w:rsidRDefault="00376EFA" w:rsidP="001A3134">
      <w:pPr>
        <w:pStyle w:val="BodyText"/>
      </w:pPr>
    </w:p>
    <w:p w14:paraId="5026F30C" w14:textId="77777777" w:rsidR="00376EFA" w:rsidRPr="00A3750E" w:rsidRDefault="009B5CA1" w:rsidP="001A3134">
      <w:pPr>
        <w:pStyle w:val="BodyText"/>
        <w:rPr>
          <w:rFonts w:eastAsiaTheme="minorHAnsi"/>
          <w:color w:val="3F3F3F"/>
        </w:rPr>
      </w:pPr>
      <w:r w:rsidRPr="00A3750E">
        <w:rPr>
          <w:rFonts w:eastAsiaTheme="minorHAnsi"/>
          <w:color w:val="3F3F3F"/>
        </w:rPr>
        <w:t xml:space="preserve">Defines the individuals, groups, locations, resources, and timeframes to which this policy applies.  </w:t>
      </w:r>
      <w:r w:rsidR="00C906BD" w:rsidRPr="00A3750E">
        <w:rPr>
          <w:rFonts w:eastAsiaTheme="minorHAnsi"/>
          <w:color w:val="3F3F3F"/>
        </w:rPr>
        <w:t>It a</w:t>
      </w:r>
      <w:r w:rsidRPr="00A3750E">
        <w:rPr>
          <w:rFonts w:eastAsiaTheme="minorHAnsi"/>
          <w:color w:val="3F3F3F"/>
        </w:rPr>
        <w:t>lso identifies related policies, legislation, and agreements and explains their relationship to this policy.</w:t>
      </w:r>
    </w:p>
    <w:p w14:paraId="0146EDA7" w14:textId="77777777" w:rsidR="006819B5" w:rsidRPr="00A3750E" w:rsidRDefault="006819B5" w:rsidP="001A3134">
      <w:pPr>
        <w:pStyle w:val="BodyText"/>
        <w:rPr>
          <w:rFonts w:eastAsiaTheme="minorHAnsi"/>
          <w:color w:val="3F3F3F"/>
        </w:rPr>
      </w:pPr>
    </w:p>
    <w:p w14:paraId="1917CE6D" w14:textId="77777777" w:rsidR="006819B5" w:rsidRPr="00A3750E" w:rsidRDefault="006819B5" w:rsidP="001A3134">
      <w:pPr>
        <w:pStyle w:val="BodyText"/>
        <w:rPr>
          <w:rFonts w:eastAsiaTheme="minorHAnsi"/>
          <w:b/>
          <w:bCs/>
          <w:color w:val="3F3F3F"/>
        </w:rPr>
      </w:pPr>
      <w:r w:rsidRPr="00A3750E">
        <w:rPr>
          <w:rFonts w:eastAsiaTheme="minorHAnsi"/>
          <w:b/>
          <w:bCs/>
          <w:color w:val="3F3F3F"/>
        </w:rPr>
        <w:t>Out of Scope of this Policy</w:t>
      </w:r>
    </w:p>
    <w:p w14:paraId="4156EC43" w14:textId="77777777" w:rsidR="001234E9" w:rsidRPr="00A3750E" w:rsidRDefault="001234E9" w:rsidP="001A3134">
      <w:pPr>
        <w:pStyle w:val="BodyText"/>
      </w:pPr>
      <w:r w:rsidRPr="00A3750E">
        <w:rPr>
          <w:rFonts w:eastAsiaTheme="minorHAnsi"/>
          <w:color w:val="3F3F3F"/>
        </w:rPr>
        <w:t>Defines the individuals, groups, locations, resources and timeframes to which this policy does not apply. This may not be applicable to all policies.</w:t>
      </w:r>
    </w:p>
    <w:p w14:paraId="3EB2A251" w14:textId="77777777" w:rsidR="00376EFA" w:rsidRPr="00A3750E" w:rsidRDefault="00376EFA" w:rsidP="001A3134">
      <w:pPr>
        <w:pStyle w:val="BodyText"/>
      </w:pPr>
    </w:p>
    <w:p w14:paraId="6609C2BC" w14:textId="77777777" w:rsidR="00376EFA" w:rsidRPr="00A3750E" w:rsidRDefault="006F0467" w:rsidP="001A3134">
      <w:pPr>
        <w:pStyle w:val="Heading2"/>
      </w:pPr>
      <w:r w:rsidRPr="00A3750E">
        <w:t>Responsibilities:</w:t>
      </w:r>
    </w:p>
    <w:p w14:paraId="1F8080D0" w14:textId="77777777" w:rsidR="00376EFA" w:rsidRPr="00A3750E" w:rsidRDefault="00376EFA" w:rsidP="001A3134">
      <w:pPr>
        <w:pStyle w:val="BodyText"/>
      </w:pPr>
    </w:p>
    <w:p w14:paraId="1FDA6F3A" w14:textId="77777777" w:rsidR="00376EFA" w:rsidRPr="00A3750E" w:rsidRDefault="006F0467" w:rsidP="001A3134">
      <w:pPr>
        <w:pStyle w:val="BodyText"/>
      </w:pPr>
      <w:r w:rsidRPr="00A3750E">
        <w:t>Indicate</w:t>
      </w:r>
      <w:r w:rsidRPr="00A3750E">
        <w:rPr>
          <w:spacing w:val="-2"/>
        </w:rPr>
        <w:t xml:space="preserve"> </w:t>
      </w:r>
      <w:r w:rsidRPr="00A3750E">
        <w:t>what</w:t>
      </w:r>
      <w:r w:rsidRPr="00A3750E">
        <w:rPr>
          <w:spacing w:val="-5"/>
        </w:rPr>
        <w:t xml:space="preserve"> </w:t>
      </w:r>
      <w:r w:rsidRPr="00A3750E">
        <w:t>responsibilities</w:t>
      </w:r>
      <w:r w:rsidRPr="00A3750E">
        <w:rPr>
          <w:spacing w:val="-3"/>
        </w:rPr>
        <w:t xml:space="preserve"> </w:t>
      </w:r>
      <w:r w:rsidRPr="00A3750E">
        <w:t>are</w:t>
      </w:r>
      <w:r w:rsidRPr="00A3750E">
        <w:rPr>
          <w:spacing w:val="-5"/>
        </w:rPr>
        <w:t xml:space="preserve"> </w:t>
      </w:r>
      <w:r w:rsidRPr="00A3750E">
        <w:t>assigned,</w:t>
      </w:r>
      <w:r w:rsidRPr="00A3750E">
        <w:rPr>
          <w:spacing w:val="-3"/>
        </w:rPr>
        <w:t xml:space="preserve"> </w:t>
      </w:r>
      <w:r w:rsidRPr="00A3750E">
        <w:t>and</w:t>
      </w:r>
      <w:r w:rsidRPr="00A3750E">
        <w:rPr>
          <w:spacing w:val="-5"/>
        </w:rPr>
        <w:t xml:space="preserve"> </w:t>
      </w:r>
      <w:r w:rsidRPr="00A3750E">
        <w:t>to</w:t>
      </w:r>
      <w:r w:rsidRPr="00A3750E">
        <w:rPr>
          <w:spacing w:val="-4"/>
        </w:rPr>
        <w:t xml:space="preserve"> </w:t>
      </w:r>
      <w:r w:rsidRPr="00A3750E">
        <w:t>whom,</w:t>
      </w:r>
      <w:r w:rsidRPr="00A3750E">
        <w:rPr>
          <w:spacing w:val="-3"/>
        </w:rPr>
        <w:t xml:space="preserve"> </w:t>
      </w:r>
      <w:r w:rsidRPr="00A3750E">
        <w:t>under</w:t>
      </w:r>
      <w:r w:rsidRPr="00A3750E">
        <w:rPr>
          <w:spacing w:val="-3"/>
        </w:rPr>
        <w:t xml:space="preserve"> </w:t>
      </w:r>
      <w:r w:rsidRPr="00A3750E">
        <w:t>the</w:t>
      </w:r>
      <w:r w:rsidRPr="00A3750E">
        <w:rPr>
          <w:spacing w:val="-2"/>
        </w:rPr>
        <w:t xml:space="preserve"> </w:t>
      </w:r>
      <w:r w:rsidRPr="00A3750E">
        <w:t>policy.</w:t>
      </w:r>
      <w:r w:rsidRPr="00A3750E">
        <w:rPr>
          <w:spacing w:val="40"/>
        </w:rPr>
        <w:t xml:space="preserve"> </w:t>
      </w:r>
      <w:r w:rsidRPr="00A3750E">
        <w:t>If</w:t>
      </w:r>
      <w:r w:rsidRPr="00A3750E">
        <w:rPr>
          <w:spacing w:val="-5"/>
        </w:rPr>
        <w:t xml:space="preserve"> </w:t>
      </w:r>
      <w:r w:rsidRPr="00A3750E">
        <w:t>there</w:t>
      </w:r>
      <w:r w:rsidRPr="00A3750E">
        <w:rPr>
          <w:spacing w:val="-2"/>
        </w:rPr>
        <w:t xml:space="preserve"> </w:t>
      </w:r>
      <w:r w:rsidRPr="00A3750E">
        <w:t>are</w:t>
      </w:r>
      <w:r w:rsidRPr="00A3750E">
        <w:rPr>
          <w:spacing w:val="-2"/>
        </w:rPr>
        <w:t xml:space="preserve"> </w:t>
      </w:r>
      <w:r w:rsidRPr="00A3750E">
        <w:t>different categories or levels of responsibility, this section can be used to delineate these.</w:t>
      </w:r>
    </w:p>
    <w:p w14:paraId="19E9B85F" w14:textId="77777777" w:rsidR="00376EFA" w:rsidRPr="00A3750E" w:rsidRDefault="00376EFA" w:rsidP="001A3134">
      <w:pPr>
        <w:pStyle w:val="BodyText"/>
      </w:pPr>
    </w:p>
    <w:p w14:paraId="3652E61C" w14:textId="77777777" w:rsidR="00376EFA" w:rsidRPr="00A3750E" w:rsidRDefault="006F0467" w:rsidP="001A3134">
      <w:pPr>
        <w:pStyle w:val="Heading2"/>
      </w:pPr>
      <w:r w:rsidRPr="00A3750E">
        <w:t>Non-Compliance:</w:t>
      </w:r>
    </w:p>
    <w:p w14:paraId="25529298" w14:textId="77777777" w:rsidR="00376EFA" w:rsidRPr="00A3750E" w:rsidRDefault="00376EFA" w:rsidP="001A3134">
      <w:pPr>
        <w:pStyle w:val="BodyText"/>
      </w:pPr>
    </w:p>
    <w:p w14:paraId="6BCEA390" w14:textId="77777777" w:rsidR="00376EFA" w:rsidRPr="00A3750E" w:rsidRDefault="006F0467" w:rsidP="001A3134">
      <w:pPr>
        <w:pStyle w:val="BodyText"/>
      </w:pPr>
      <w:r w:rsidRPr="00A3750E">
        <w:t>If applicable, a statement</w:t>
      </w:r>
      <w:r w:rsidRPr="00A3750E">
        <w:rPr>
          <w:spacing w:val="-1"/>
        </w:rPr>
        <w:t xml:space="preserve"> </w:t>
      </w:r>
      <w:r w:rsidRPr="00A3750E">
        <w:t>can be made about the consequences</w:t>
      </w:r>
      <w:r w:rsidRPr="00A3750E">
        <w:rPr>
          <w:spacing w:val="-2"/>
        </w:rPr>
        <w:t xml:space="preserve"> </w:t>
      </w:r>
      <w:r w:rsidRPr="00A3750E">
        <w:t>of non-compliance with this policy.</w:t>
      </w:r>
      <w:r w:rsidRPr="00A3750E">
        <w:rPr>
          <w:spacing w:val="40"/>
        </w:rPr>
        <w:t xml:space="preserve"> </w:t>
      </w:r>
      <w:r w:rsidRPr="00A3750E">
        <w:t>The standardized language (adaptable as necessary) is as follows:</w:t>
      </w:r>
    </w:p>
    <w:p w14:paraId="288BC405" w14:textId="77777777" w:rsidR="006D7B74" w:rsidRPr="00A3750E" w:rsidRDefault="006D7B74" w:rsidP="001A3134">
      <w:pPr>
        <w:pStyle w:val="BodyText"/>
      </w:pPr>
    </w:p>
    <w:p w14:paraId="7165BD0D" w14:textId="77777777" w:rsidR="00376EFA" w:rsidRPr="00A3750E" w:rsidRDefault="006F0467" w:rsidP="001A3134">
      <w:pPr>
        <w:pStyle w:val="BodyText"/>
      </w:pPr>
      <w:r w:rsidRPr="00A3750E">
        <w:t xml:space="preserve">The University of Saskatchewan expects that its faculty, staff, students, post-doctoral students, visitors, contractors and agents will comply with this policy. Should there be reason to suspect that laws or university policies have been or are being violated, and the university may suffer reputational, financial or other harm </w:t>
      </w:r>
      <w:proofErr w:type="gramStart"/>
      <w:r w:rsidRPr="00A3750E">
        <w:t>as a result of</w:t>
      </w:r>
      <w:proofErr w:type="gramEnd"/>
      <w:r w:rsidRPr="00A3750E">
        <w:t xml:space="preserve"> non-compliance, this may constitute grounds for disciplinary or legal action in accordance with any applicable agreements, contracts, collective agreements, regulations or policies, legislation or common law principles.</w:t>
      </w:r>
      <w:r w:rsidR="00187543" w:rsidRPr="00A3750E">
        <w:br/>
      </w:r>
    </w:p>
    <w:p w14:paraId="67129195" w14:textId="2D96C0FF" w:rsidR="00B12D0A" w:rsidRPr="00A3750E" w:rsidRDefault="00AA27B2" w:rsidP="00B12D0A">
      <w:pPr>
        <w:pStyle w:val="Heading2"/>
      </w:pPr>
      <w:r w:rsidRPr="00A3750E">
        <w:br/>
      </w:r>
      <w:r w:rsidR="00924532" w:rsidRPr="00A3750E">
        <w:t>Definitions</w:t>
      </w:r>
    </w:p>
    <w:p w14:paraId="4E67F6B1" w14:textId="77777777" w:rsidR="00BB10D0" w:rsidRPr="00A3750E" w:rsidRDefault="00B12D0A" w:rsidP="00B12D0A">
      <w:pPr>
        <w:pStyle w:val="BodyText"/>
      </w:pPr>
      <w:r w:rsidRPr="00A3750E">
        <w:br/>
      </w:r>
      <w:r w:rsidR="00BB10D0" w:rsidRPr="00A3750E">
        <w:t>The source of institutional approved definitions is in the Academic and Curricular Nomenclature.</w:t>
      </w:r>
    </w:p>
    <w:p w14:paraId="056FBDEB" w14:textId="77777777" w:rsidR="00BB10D0" w:rsidRPr="00A3750E" w:rsidRDefault="00BB10D0" w:rsidP="00B12D0A">
      <w:pPr>
        <w:pStyle w:val="BodyText"/>
      </w:pPr>
    </w:p>
    <w:p w14:paraId="2AD59D24" w14:textId="77777777" w:rsidR="00924532" w:rsidRPr="00A3750E" w:rsidRDefault="00B12D0A" w:rsidP="00B12D0A">
      <w:pPr>
        <w:pStyle w:val="BodyText"/>
      </w:pPr>
      <w:r w:rsidRPr="00A3750E">
        <w:t>Insert any definitions so that the reader of the policy or procedure can easily understand the context and meaning within the institution.</w:t>
      </w:r>
      <w:r w:rsidRPr="00A3750E">
        <w:br/>
      </w:r>
    </w:p>
    <w:p w14:paraId="5FFA2D77" w14:textId="77777777" w:rsidR="00A15B67" w:rsidRPr="00A3750E" w:rsidRDefault="00A15B67" w:rsidP="00A15B67">
      <w:pPr>
        <w:pStyle w:val="ListParagraph"/>
        <w:numPr>
          <w:ilvl w:val="0"/>
          <w:numId w:val="1"/>
        </w:numPr>
      </w:pPr>
      <w:r w:rsidRPr="00A3750E">
        <w:rPr>
          <w:b/>
          <w:spacing w:val="-2"/>
        </w:rPr>
        <w:t>Office of administrative responsibility:</w:t>
      </w:r>
      <w:r w:rsidRPr="00A3750E">
        <w:t xml:space="preserve"> </w:t>
      </w:r>
      <w:r w:rsidR="00342896" w:rsidRPr="00A3750E">
        <w:t xml:space="preserve">Indicate the </w:t>
      </w:r>
      <w:r w:rsidR="00FD2128" w:rsidRPr="00A3750E">
        <w:t>office or department within the university that is accountable for the development, implementation of a specific policy</w:t>
      </w:r>
      <w:r w:rsidR="0047122A" w:rsidRPr="00A3750E">
        <w:t xml:space="preserve">, procedures and guidelines. This office ensures that </w:t>
      </w:r>
      <w:r w:rsidR="00B35E01" w:rsidRPr="00A3750E">
        <w:t xml:space="preserve">the policy is effectively </w:t>
      </w:r>
      <w:r w:rsidR="00955948" w:rsidRPr="00A3750E">
        <w:t xml:space="preserve">communicated, adhered to, and reviewed periodically to remain relevant and </w:t>
      </w:r>
      <w:proofErr w:type="gramStart"/>
      <w:r w:rsidR="00955948" w:rsidRPr="00A3750E">
        <w:t>up-to-date</w:t>
      </w:r>
      <w:proofErr w:type="gramEnd"/>
      <w:r w:rsidR="00955948" w:rsidRPr="00A3750E">
        <w:t xml:space="preserve">. </w:t>
      </w:r>
      <w:r w:rsidR="00F1444B" w:rsidRPr="00A3750E">
        <w:t>The office of administrative responsibility coordinates with other university units, departments and stakeholders to ensure compliance and address any issues related to the policy.</w:t>
      </w:r>
    </w:p>
    <w:p w14:paraId="1BAF21B3" w14:textId="3F4194E4" w:rsidR="00D41D00" w:rsidRPr="00A3750E" w:rsidRDefault="006D7B74" w:rsidP="001A3134">
      <w:pPr>
        <w:pStyle w:val="ListParagraph"/>
        <w:numPr>
          <w:ilvl w:val="0"/>
          <w:numId w:val="1"/>
        </w:numPr>
      </w:pPr>
      <w:r w:rsidRPr="00A3750E">
        <w:rPr>
          <w:b/>
          <w:spacing w:val="-2"/>
        </w:rPr>
        <w:t>Policy Owner (Sponsor)</w:t>
      </w:r>
      <w:r w:rsidR="00D41D00" w:rsidRPr="00A3750E">
        <w:rPr>
          <w:b/>
          <w:spacing w:val="-2"/>
        </w:rPr>
        <w:t>:</w:t>
      </w:r>
      <w:r w:rsidR="00A767EB" w:rsidRPr="00A3750E">
        <w:rPr>
          <w:b/>
        </w:rPr>
        <w:t xml:space="preserve"> </w:t>
      </w:r>
      <w:r w:rsidR="00D41D00" w:rsidRPr="00A3750E">
        <w:t>Indicate</w:t>
      </w:r>
      <w:r w:rsidR="00D41D00" w:rsidRPr="00A3750E">
        <w:rPr>
          <w:spacing w:val="-4"/>
        </w:rPr>
        <w:t xml:space="preserve"> </w:t>
      </w:r>
      <w:r w:rsidR="00D41D00" w:rsidRPr="00A3750E">
        <w:t>the</w:t>
      </w:r>
      <w:r w:rsidR="00D41D00" w:rsidRPr="00A3750E">
        <w:rPr>
          <w:spacing w:val="-2"/>
        </w:rPr>
        <w:t xml:space="preserve"> </w:t>
      </w:r>
      <w:r w:rsidR="00D41D00" w:rsidRPr="00A3750E">
        <w:t>senior</w:t>
      </w:r>
      <w:r w:rsidR="00D41D00" w:rsidRPr="00A3750E">
        <w:rPr>
          <w:spacing w:val="-5"/>
        </w:rPr>
        <w:t xml:space="preserve"> </w:t>
      </w:r>
      <w:r w:rsidR="00D41D00" w:rsidRPr="00A3750E">
        <w:t>administrative</w:t>
      </w:r>
      <w:r w:rsidR="00D41D00" w:rsidRPr="00A3750E">
        <w:rPr>
          <w:spacing w:val="-4"/>
        </w:rPr>
        <w:t xml:space="preserve"> </w:t>
      </w:r>
      <w:r w:rsidR="00D41D00" w:rsidRPr="00A3750E">
        <w:t>position</w:t>
      </w:r>
      <w:r w:rsidR="00D41D00" w:rsidRPr="00A3750E">
        <w:rPr>
          <w:spacing w:val="-4"/>
        </w:rPr>
        <w:t xml:space="preserve"> </w:t>
      </w:r>
      <w:r w:rsidR="00D41D00" w:rsidRPr="00A3750E">
        <w:t>responsible</w:t>
      </w:r>
      <w:r w:rsidR="00D41D00" w:rsidRPr="00A3750E">
        <w:rPr>
          <w:spacing w:val="-4"/>
        </w:rPr>
        <w:t xml:space="preserve"> </w:t>
      </w:r>
      <w:r w:rsidR="00D41D00" w:rsidRPr="00A3750E">
        <w:t>for</w:t>
      </w:r>
      <w:r w:rsidR="00D41D00" w:rsidRPr="00A3750E">
        <w:rPr>
          <w:spacing w:val="-5"/>
        </w:rPr>
        <w:t xml:space="preserve"> </w:t>
      </w:r>
      <w:r w:rsidR="00D41D00" w:rsidRPr="00A3750E">
        <w:t>the</w:t>
      </w:r>
      <w:r w:rsidR="00D41D00" w:rsidRPr="00A3750E">
        <w:rPr>
          <w:spacing w:val="-5"/>
        </w:rPr>
        <w:t xml:space="preserve"> </w:t>
      </w:r>
      <w:r w:rsidR="00D41D00" w:rsidRPr="00A3750E">
        <w:t>policy</w:t>
      </w:r>
      <w:r w:rsidR="00D41D00" w:rsidRPr="00A3750E">
        <w:rPr>
          <w:spacing w:val="-3"/>
        </w:rPr>
        <w:t xml:space="preserve"> </w:t>
      </w:r>
      <w:r w:rsidR="00D41D00" w:rsidRPr="00A3750E">
        <w:t xml:space="preserve">(the </w:t>
      </w:r>
      <w:r w:rsidR="00D41D00" w:rsidRPr="00A3750E">
        <w:rPr>
          <w:spacing w:val="-2"/>
        </w:rPr>
        <w:t>sponsor)</w:t>
      </w:r>
      <w:r w:rsidR="00A15B67" w:rsidRPr="00A3750E">
        <w:rPr>
          <w:spacing w:val="-2"/>
        </w:rPr>
        <w:t>.</w:t>
      </w:r>
      <w:r w:rsidR="00AA0B92" w:rsidRPr="00A3750E">
        <w:rPr>
          <w:spacing w:val="-2"/>
        </w:rPr>
        <w:t xml:space="preserve"> See the link for latest list of contacts: https://governance.usask.ca/documents/governing/org-chart.pdf</w:t>
      </w:r>
    </w:p>
    <w:p w14:paraId="28AC7FFC" w14:textId="7A8DB98D" w:rsidR="00D41D00" w:rsidRPr="00A3750E" w:rsidRDefault="00AC01F3" w:rsidP="001A3134">
      <w:pPr>
        <w:pStyle w:val="ListParagraph"/>
        <w:numPr>
          <w:ilvl w:val="0"/>
          <w:numId w:val="1"/>
        </w:numPr>
      </w:pPr>
      <w:r w:rsidRPr="00A3750E">
        <w:rPr>
          <w:b/>
          <w:spacing w:val="-2"/>
        </w:rPr>
        <w:t>Approving Body</w:t>
      </w:r>
      <w:r w:rsidR="00D41D00" w:rsidRPr="00A3750E">
        <w:rPr>
          <w:b/>
          <w:spacing w:val="-2"/>
        </w:rPr>
        <w:t>:</w:t>
      </w:r>
      <w:r w:rsidR="00A767EB" w:rsidRPr="00A3750E">
        <w:rPr>
          <w:b/>
          <w:spacing w:val="-2"/>
        </w:rPr>
        <w:t xml:space="preserve"> </w:t>
      </w:r>
      <w:r w:rsidR="00D41D00" w:rsidRPr="00A3750E">
        <w:t>The</w:t>
      </w:r>
      <w:r w:rsidR="00D41D00" w:rsidRPr="00A3750E">
        <w:rPr>
          <w:spacing w:val="-5"/>
        </w:rPr>
        <w:t xml:space="preserve"> </w:t>
      </w:r>
      <w:r w:rsidR="00DF37D3" w:rsidRPr="00A3750E">
        <w:t>U</w:t>
      </w:r>
      <w:r w:rsidR="00D41D00" w:rsidRPr="00A3750E">
        <w:t>niversity</w:t>
      </w:r>
      <w:r w:rsidR="00D41D00" w:rsidRPr="00A3750E">
        <w:rPr>
          <w:spacing w:val="-4"/>
        </w:rPr>
        <w:t xml:space="preserve"> </w:t>
      </w:r>
      <w:r w:rsidR="00DF37D3" w:rsidRPr="00A3750E">
        <w:t>S</w:t>
      </w:r>
      <w:r w:rsidR="00D41D00" w:rsidRPr="00A3750E">
        <w:t>ecretary</w:t>
      </w:r>
      <w:r w:rsidR="00DF37D3" w:rsidRPr="00A3750E">
        <w:t xml:space="preserve"> or designate</w:t>
      </w:r>
      <w:r w:rsidR="006D7B74" w:rsidRPr="00A3750E">
        <w:t xml:space="preserve"> </w:t>
      </w:r>
      <w:r w:rsidR="00EE0C31" w:rsidRPr="00A3750E">
        <w:t>will determine the appropriate approval pathways for the policy. The University Secretary (or delegate) will work with the Policy Owner (or delegate) to forward the policy for approval, as per each governing body's own bylaws and procedures.</w:t>
      </w:r>
      <w:r w:rsidR="00A767EB" w:rsidRPr="00A3750E">
        <w:t xml:space="preserve"> </w:t>
      </w:r>
      <w:r w:rsidR="00D41D00" w:rsidRPr="00A3750E">
        <w:t>e.g.</w:t>
      </w:r>
      <w:r w:rsidR="00D41D00" w:rsidRPr="00A3750E">
        <w:rPr>
          <w:spacing w:val="-2"/>
        </w:rPr>
        <w:t xml:space="preserve"> </w:t>
      </w:r>
      <w:r w:rsidR="00D41D00" w:rsidRPr="00A3750E">
        <w:t>Board</w:t>
      </w:r>
      <w:r w:rsidR="00D41D00" w:rsidRPr="00A3750E">
        <w:rPr>
          <w:spacing w:val="-1"/>
        </w:rPr>
        <w:t xml:space="preserve"> </w:t>
      </w:r>
      <w:r w:rsidR="00D41D00" w:rsidRPr="00A3750E">
        <w:t>of</w:t>
      </w:r>
      <w:r w:rsidR="00D41D00" w:rsidRPr="00A3750E">
        <w:rPr>
          <w:spacing w:val="-1"/>
        </w:rPr>
        <w:t xml:space="preserve"> </w:t>
      </w:r>
      <w:r w:rsidR="00D41D00" w:rsidRPr="00A3750E">
        <w:t>Governors,</w:t>
      </w:r>
      <w:r w:rsidR="00D41D00" w:rsidRPr="00A3750E">
        <w:rPr>
          <w:spacing w:val="-5"/>
        </w:rPr>
        <w:t xml:space="preserve"> </w:t>
      </w:r>
      <w:r w:rsidR="00D41D00" w:rsidRPr="00A3750E">
        <w:t>Council,</w:t>
      </w:r>
      <w:r w:rsidR="00D41D00" w:rsidRPr="00A3750E">
        <w:rPr>
          <w:spacing w:val="-1"/>
        </w:rPr>
        <w:t xml:space="preserve"> </w:t>
      </w:r>
      <w:r w:rsidR="00D41D00" w:rsidRPr="00A3750E">
        <w:t>Senate,</w:t>
      </w:r>
      <w:r w:rsidR="00D41D00" w:rsidRPr="00A3750E">
        <w:rPr>
          <w:spacing w:val="-1"/>
        </w:rPr>
        <w:t xml:space="preserve"> </w:t>
      </w:r>
      <w:r w:rsidR="00D41D00" w:rsidRPr="00A3750E">
        <w:rPr>
          <w:spacing w:val="-5"/>
        </w:rPr>
        <w:t>PEC</w:t>
      </w:r>
      <w:r w:rsidR="00114831" w:rsidRPr="00A3750E">
        <w:rPr>
          <w:spacing w:val="-5"/>
        </w:rPr>
        <w:t>.</w:t>
      </w:r>
    </w:p>
    <w:p w14:paraId="7CB6A39C" w14:textId="77777777" w:rsidR="00D41D00" w:rsidRPr="00A3750E" w:rsidRDefault="00D41D00" w:rsidP="001A3134">
      <w:r w:rsidRPr="00A3750E">
        <w:tab/>
      </w:r>
      <w:r w:rsidRPr="00A3750E">
        <w:tab/>
      </w:r>
      <w:r w:rsidRPr="00A3750E">
        <w:tab/>
      </w:r>
    </w:p>
    <w:p w14:paraId="05AF994D" w14:textId="77777777" w:rsidR="00924532" w:rsidRPr="00A3750E" w:rsidRDefault="00924532" w:rsidP="001A3134">
      <w:pPr>
        <w:pStyle w:val="BodyText"/>
      </w:pPr>
    </w:p>
    <w:p w14:paraId="3C98DB97" w14:textId="77777777" w:rsidR="00873210" w:rsidRPr="00A3750E" w:rsidRDefault="00924532" w:rsidP="00873210">
      <w:pPr>
        <w:pStyle w:val="Heading2"/>
      </w:pPr>
      <w:r w:rsidRPr="00A3750E">
        <w:t>Related Policies/Documents</w:t>
      </w:r>
      <w:r w:rsidR="009405B7" w:rsidRPr="00A3750E">
        <w:t>/Procedures</w:t>
      </w:r>
    </w:p>
    <w:p w14:paraId="4F2D07AC" w14:textId="77777777" w:rsidR="00BB10D0" w:rsidRPr="00A3750E" w:rsidRDefault="00873210" w:rsidP="00BB10D0">
      <w:pPr>
        <w:pStyle w:val="BodyText"/>
      </w:pPr>
      <w:r w:rsidRPr="00A3750E">
        <w:br/>
        <w:t>Lists and links to related University policies, procedures, and other relevant documents</w:t>
      </w:r>
      <w:r w:rsidR="0012283F" w:rsidRPr="00A3750E">
        <w:t>.</w:t>
      </w:r>
      <w:r w:rsidR="00BB10D0" w:rsidRPr="00A3750E">
        <w:br/>
      </w:r>
      <w:hyperlink r:id="rId10" w:tgtFrame="_blank" w:history="1">
        <w:r w:rsidR="00BB10D0" w:rsidRPr="00A3750E">
          <w:rPr>
            <w:rStyle w:val="normaltextrun"/>
            <w:color w:val="0000FF"/>
            <w:u w:val="single"/>
            <w:shd w:val="clear" w:color="auto" w:fill="FFFFFF"/>
          </w:rPr>
          <w:t>Academic and Curricular Nomenclature</w:t>
        </w:r>
      </w:hyperlink>
      <w:r w:rsidR="00BB10D0" w:rsidRPr="00A3750E">
        <w:rPr>
          <w:rStyle w:val="eop"/>
          <w:color w:val="000000"/>
          <w:shd w:val="clear" w:color="auto" w:fill="FFFFFF"/>
        </w:rPr>
        <w:t> </w:t>
      </w:r>
    </w:p>
    <w:p w14:paraId="0D8C26D5" w14:textId="77777777" w:rsidR="009405B7" w:rsidRPr="00A3750E" w:rsidRDefault="009405B7" w:rsidP="00873210">
      <w:pPr>
        <w:pStyle w:val="BodyText"/>
      </w:pPr>
    </w:p>
    <w:p w14:paraId="54BA6895" w14:textId="77777777" w:rsidR="00924532" w:rsidRPr="00A3750E" w:rsidRDefault="00924532" w:rsidP="001A3134">
      <w:pPr>
        <w:pStyle w:val="BodyText"/>
      </w:pPr>
    </w:p>
    <w:p w14:paraId="0E4B069B" w14:textId="77777777" w:rsidR="00924532" w:rsidRPr="00A3750E" w:rsidRDefault="00924532" w:rsidP="00251048">
      <w:pPr>
        <w:pStyle w:val="Heading2"/>
      </w:pPr>
      <w:r w:rsidRPr="00A3750E">
        <w:t>Applicable Legislation or Regulations</w:t>
      </w:r>
    </w:p>
    <w:p w14:paraId="6F49200D" w14:textId="77777777" w:rsidR="00924532" w:rsidRPr="00A3750E" w:rsidRDefault="00924532" w:rsidP="001A3134">
      <w:pPr>
        <w:pStyle w:val="BodyText"/>
      </w:pPr>
    </w:p>
    <w:p w14:paraId="635F9851" w14:textId="5B79B4A9" w:rsidR="00BB10D0" w:rsidRPr="00A3750E" w:rsidRDefault="00CA27EA" w:rsidP="00BB10D0">
      <w:pPr>
        <w:pStyle w:val="BodyText"/>
      </w:pPr>
      <w:r w:rsidRPr="00A3750E">
        <w:t>Lists and links to Applicable Legislation or Regulations</w:t>
      </w:r>
      <w:r w:rsidR="00AF517F" w:rsidRPr="00A3750E">
        <w:t xml:space="preserve"> if applicable.</w:t>
      </w:r>
      <w:r w:rsidR="00BB10D0" w:rsidRPr="00A3750E">
        <w:br/>
      </w:r>
    </w:p>
    <w:p w14:paraId="65635688" w14:textId="77777777" w:rsidR="00CA27EA" w:rsidRPr="00A3750E" w:rsidRDefault="00CA27EA" w:rsidP="001A3134">
      <w:pPr>
        <w:pStyle w:val="BodyText"/>
      </w:pPr>
    </w:p>
    <w:p w14:paraId="2EFB89F5" w14:textId="77777777" w:rsidR="00237679" w:rsidRPr="00A3750E" w:rsidRDefault="00237679" w:rsidP="001A3134">
      <w:pPr>
        <w:pStyle w:val="BodyText"/>
      </w:pPr>
    </w:p>
    <w:p w14:paraId="02E83AB9" w14:textId="77777777" w:rsidR="00BB10D0" w:rsidRPr="00A3750E" w:rsidRDefault="00BB10D0" w:rsidP="00251048">
      <w:pPr>
        <w:pStyle w:val="Heading2"/>
        <w:sectPr w:rsidR="00BB10D0" w:rsidRPr="00A3750E">
          <w:headerReference w:type="default" r:id="rId11"/>
          <w:pgSz w:w="12240" w:h="15840"/>
          <w:pgMar w:top="1040" w:right="1320" w:bottom="280" w:left="1320" w:header="720" w:footer="720" w:gutter="0"/>
          <w:cols w:space="720"/>
        </w:sectPr>
      </w:pPr>
    </w:p>
    <w:p w14:paraId="22217FF5" w14:textId="77777777" w:rsidR="00237679" w:rsidRPr="00A3750E" w:rsidRDefault="006D40D8" w:rsidP="00251048">
      <w:pPr>
        <w:pStyle w:val="Heading2"/>
      </w:pPr>
      <w:r w:rsidRPr="00A3750E">
        <w:lastRenderedPageBreak/>
        <w:t xml:space="preserve">Revision </w:t>
      </w:r>
      <w:r w:rsidR="00237679" w:rsidRPr="00A3750E">
        <w:t>History</w:t>
      </w:r>
    </w:p>
    <w:p w14:paraId="7A36AF0C" w14:textId="77777777" w:rsidR="00A15B67" w:rsidRPr="00A3750E" w:rsidRDefault="00A15B67" w:rsidP="00251048">
      <w:pPr>
        <w:pStyle w:val="Heading2"/>
      </w:pPr>
    </w:p>
    <w:p w14:paraId="1EE6566C" w14:textId="77777777" w:rsidR="00A15B67" w:rsidRPr="00A3750E" w:rsidRDefault="00A15B67" w:rsidP="00251048">
      <w:pPr>
        <w:pStyle w:val="Heading2"/>
        <w:rPr>
          <w:b w:val="0"/>
          <w:bCs w:val="0"/>
        </w:rPr>
      </w:pPr>
      <w:r w:rsidRPr="00A3750E">
        <w:rPr>
          <w:b w:val="0"/>
          <w:bCs w:val="0"/>
        </w:rPr>
        <w:t xml:space="preserve">Please list the historical information in </w:t>
      </w:r>
      <w:r w:rsidR="00C55284" w:rsidRPr="00A3750E">
        <w:rPr>
          <w:b w:val="0"/>
          <w:bCs w:val="0"/>
        </w:rPr>
        <w:t>chronological order from oldest to newest.</w:t>
      </w:r>
    </w:p>
    <w:p w14:paraId="058E38D7" w14:textId="77777777" w:rsidR="00251048" w:rsidRPr="00A3750E" w:rsidRDefault="00251048" w:rsidP="00251048">
      <w:pPr>
        <w:pStyle w:val="Heading2"/>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0"/>
        <w:gridCol w:w="3268"/>
        <w:gridCol w:w="2962"/>
      </w:tblGrid>
      <w:tr w:rsidR="00873210" w:rsidRPr="00A3750E" w14:paraId="07EFCBC2" w14:textId="77777777" w:rsidTr="00E448C6">
        <w:tc>
          <w:tcPr>
            <w:tcW w:w="3360" w:type="dxa"/>
          </w:tcPr>
          <w:p w14:paraId="3C274E26" w14:textId="77777777" w:rsidR="00873210" w:rsidRPr="00A3750E" w:rsidRDefault="00873210" w:rsidP="001A3134">
            <w:pPr>
              <w:pStyle w:val="BodyText"/>
              <w:rPr>
                <w:b/>
                <w:bCs/>
                <w:spacing w:val="-3"/>
              </w:rPr>
            </w:pPr>
            <w:r w:rsidRPr="00A3750E">
              <w:rPr>
                <w:b/>
                <w:bCs/>
              </w:rPr>
              <w:t>Date</w:t>
            </w:r>
            <w:r w:rsidRPr="00A3750E">
              <w:rPr>
                <w:b/>
                <w:bCs/>
                <w:spacing w:val="-5"/>
              </w:rPr>
              <w:t xml:space="preserve"> </w:t>
            </w:r>
            <w:r w:rsidRPr="00A3750E">
              <w:rPr>
                <w:b/>
                <w:bCs/>
              </w:rPr>
              <w:t>initially</w:t>
            </w:r>
            <w:r w:rsidRPr="00A3750E">
              <w:rPr>
                <w:b/>
                <w:bCs/>
                <w:spacing w:val="-2"/>
              </w:rPr>
              <w:t xml:space="preserve"> </w:t>
            </w:r>
            <w:r w:rsidRPr="00A3750E">
              <w:rPr>
                <w:b/>
                <w:bCs/>
              </w:rPr>
              <w:t xml:space="preserve">approved and </w:t>
            </w:r>
          </w:p>
          <w:p w14:paraId="4AEDCA91" w14:textId="77777777" w:rsidR="00873210" w:rsidRPr="00A3750E" w:rsidRDefault="00873210" w:rsidP="001A3134">
            <w:pPr>
              <w:pStyle w:val="BodyText"/>
              <w:rPr>
                <w:b/>
                <w:bCs/>
              </w:rPr>
            </w:pPr>
            <w:r w:rsidRPr="00A3750E">
              <w:rPr>
                <w:b/>
                <w:bCs/>
              </w:rPr>
              <w:t>date(s)</w:t>
            </w:r>
            <w:r w:rsidRPr="00A3750E">
              <w:rPr>
                <w:b/>
                <w:bCs/>
                <w:spacing w:val="-2"/>
              </w:rPr>
              <w:t xml:space="preserve"> </w:t>
            </w:r>
            <w:r w:rsidRPr="00A3750E">
              <w:rPr>
                <w:b/>
                <w:bCs/>
              </w:rPr>
              <w:t>re-formatted</w:t>
            </w:r>
            <w:r w:rsidRPr="00A3750E">
              <w:rPr>
                <w:b/>
                <w:bCs/>
                <w:spacing w:val="-3"/>
              </w:rPr>
              <w:t xml:space="preserve"> </w:t>
            </w:r>
            <w:r w:rsidRPr="00A3750E">
              <w:rPr>
                <w:b/>
                <w:bCs/>
              </w:rPr>
              <w:t xml:space="preserve">or </w:t>
            </w:r>
            <w:r w:rsidRPr="00A3750E">
              <w:rPr>
                <w:b/>
                <w:bCs/>
                <w:spacing w:val="-2"/>
              </w:rPr>
              <w:t>revised</w:t>
            </w:r>
          </w:p>
          <w:p w14:paraId="1F80F073" w14:textId="77777777" w:rsidR="00873210" w:rsidRPr="00A3750E" w:rsidRDefault="00873210" w:rsidP="001A3134">
            <w:pPr>
              <w:pStyle w:val="BodyText"/>
              <w:rPr>
                <w:b/>
                <w:bCs/>
              </w:rPr>
            </w:pPr>
          </w:p>
        </w:tc>
        <w:tc>
          <w:tcPr>
            <w:tcW w:w="3268" w:type="dxa"/>
          </w:tcPr>
          <w:p w14:paraId="3095221A" w14:textId="77777777" w:rsidR="00873210" w:rsidRPr="00A3750E" w:rsidRDefault="00873210" w:rsidP="001A3134">
            <w:pPr>
              <w:pStyle w:val="BodyText"/>
              <w:rPr>
                <w:b/>
                <w:bCs/>
              </w:rPr>
            </w:pPr>
            <w:r w:rsidRPr="00A3750E">
              <w:rPr>
                <w:b/>
                <w:bCs/>
              </w:rPr>
              <w:t xml:space="preserve">By </w:t>
            </w:r>
            <w:proofErr w:type="gramStart"/>
            <w:r w:rsidRPr="00A3750E">
              <w:rPr>
                <w:b/>
                <w:bCs/>
              </w:rPr>
              <w:t>who</w:t>
            </w:r>
            <w:proofErr w:type="gramEnd"/>
            <w:r w:rsidRPr="00A3750E">
              <w:rPr>
                <w:b/>
                <w:bCs/>
              </w:rPr>
              <w:t xml:space="preserve"> and what type of revision</w:t>
            </w:r>
          </w:p>
        </w:tc>
        <w:tc>
          <w:tcPr>
            <w:tcW w:w="2962" w:type="dxa"/>
          </w:tcPr>
          <w:p w14:paraId="644A0D5E" w14:textId="77777777" w:rsidR="00873210" w:rsidRPr="00A3750E" w:rsidRDefault="00873210" w:rsidP="001A3134">
            <w:pPr>
              <w:pStyle w:val="BodyText"/>
              <w:rPr>
                <w:b/>
                <w:bCs/>
              </w:rPr>
            </w:pPr>
            <w:r w:rsidRPr="00A3750E">
              <w:rPr>
                <w:b/>
                <w:bCs/>
              </w:rPr>
              <w:t>Maintained by</w:t>
            </w:r>
          </w:p>
        </w:tc>
      </w:tr>
      <w:tr w:rsidR="00C55284" w:rsidRPr="00A3750E" w14:paraId="61A16B76" w14:textId="77777777" w:rsidTr="00E448C6">
        <w:tc>
          <w:tcPr>
            <w:tcW w:w="3360" w:type="dxa"/>
          </w:tcPr>
          <w:p w14:paraId="15688794" w14:textId="77777777" w:rsidR="00C55284" w:rsidRPr="00A3750E" w:rsidRDefault="00C55284" w:rsidP="001A3134">
            <w:pPr>
              <w:pStyle w:val="BodyText"/>
              <w:rPr>
                <w:b/>
                <w:bCs/>
              </w:rPr>
            </w:pPr>
          </w:p>
        </w:tc>
        <w:tc>
          <w:tcPr>
            <w:tcW w:w="3268" w:type="dxa"/>
          </w:tcPr>
          <w:p w14:paraId="6625F1C9" w14:textId="77777777" w:rsidR="00C55284" w:rsidRPr="00A3750E" w:rsidRDefault="00C55284" w:rsidP="001A3134">
            <w:pPr>
              <w:pStyle w:val="BodyText"/>
              <w:rPr>
                <w:b/>
                <w:bCs/>
              </w:rPr>
            </w:pPr>
          </w:p>
        </w:tc>
        <w:tc>
          <w:tcPr>
            <w:tcW w:w="2962" w:type="dxa"/>
          </w:tcPr>
          <w:p w14:paraId="58B98EA0" w14:textId="77777777" w:rsidR="00C55284" w:rsidRPr="00A3750E" w:rsidRDefault="00C55284" w:rsidP="001A3134">
            <w:pPr>
              <w:pStyle w:val="BodyText"/>
              <w:rPr>
                <w:b/>
                <w:bCs/>
              </w:rPr>
            </w:pPr>
          </w:p>
        </w:tc>
      </w:tr>
    </w:tbl>
    <w:p w14:paraId="08A477D2" w14:textId="77777777" w:rsidR="00237679" w:rsidRPr="00A3750E" w:rsidRDefault="00237679" w:rsidP="001A3134">
      <w:pPr>
        <w:pStyle w:val="BodyText"/>
      </w:pPr>
    </w:p>
    <w:sectPr w:rsidR="00237679" w:rsidRPr="00A3750E">
      <w:pgSz w:w="12240" w:h="15840"/>
      <w:pgMar w:top="10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B1D5" w14:textId="77777777" w:rsidR="0048269A" w:rsidRDefault="0048269A" w:rsidP="001A3134">
      <w:r>
        <w:separator/>
      </w:r>
    </w:p>
  </w:endnote>
  <w:endnote w:type="continuationSeparator" w:id="0">
    <w:p w14:paraId="7B4BF2B6" w14:textId="77777777" w:rsidR="0048269A" w:rsidRDefault="0048269A" w:rsidP="001A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5885" w14:textId="77777777" w:rsidR="0048269A" w:rsidRDefault="0048269A" w:rsidP="001A3134">
      <w:r>
        <w:separator/>
      </w:r>
    </w:p>
  </w:footnote>
  <w:footnote w:type="continuationSeparator" w:id="0">
    <w:p w14:paraId="4D4B5D57" w14:textId="77777777" w:rsidR="0048269A" w:rsidRDefault="0048269A" w:rsidP="001A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6365" w14:textId="77777777" w:rsidR="001B097A" w:rsidRPr="00D636CB" w:rsidRDefault="00EF0624" w:rsidP="00EF0624">
    <w:pPr>
      <w:pStyle w:val="Header"/>
      <w:rPr>
        <w:b/>
        <w:bCs/>
        <w:sz w:val="28"/>
        <w:szCs w:val="28"/>
      </w:rPr>
    </w:pPr>
    <w:r>
      <w:rPr>
        <w:b/>
        <w:bCs/>
        <w:noProof/>
        <w:sz w:val="28"/>
        <w:szCs w:val="28"/>
      </w:rPr>
      <w:drawing>
        <wp:inline distT="0" distB="0" distL="0" distR="0" wp14:anchorId="381950B9" wp14:editId="3E3A9C27">
          <wp:extent cx="1638521" cy="367931"/>
          <wp:effectExtent l="0" t="0" r="0" b="635"/>
          <wp:docPr id="843450996"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50996" name="Picture 1" descr="A blac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5611" cy="425661"/>
                  </a:xfrm>
                  <a:prstGeom prst="rect">
                    <a:avLst/>
                  </a:prstGeom>
                </pic:spPr>
              </pic:pic>
            </a:graphicData>
          </a:graphic>
        </wp:inline>
      </w:drawing>
    </w:r>
    <w:r>
      <w:rPr>
        <w:b/>
        <w:bCs/>
        <w:sz w:val="28"/>
        <w:szCs w:val="28"/>
      </w:rPr>
      <w:tab/>
    </w:r>
    <w:r>
      <w:rPr>
        <w:b/>
        <w:bCs/>
        <w:sz w:val="28"/>
        <w:szCs w:val="28"/>
      </w:rPr>
      <w:tab/>
    </w:r>
    <w:r w:rsidR="001B097A" w:rsidRPr="00D636CB">
      <w:rPr>
        <w:b/>
        <w:bCs/>
        <w:sz w:val="28"/>
        <w:szCs w:val="28"/>
      </w:rPr>
      <w:t>POLICY</w:t>
    </w:r>
  </w:p>
  <w:p w14:paraId="6463FAB9" w14:textId="77777777" w:rsidR="001B097A" w:rsidRDefault="001B097A" w:rsidP="001A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17F"/>
    <w:multiLevelType w:val="hybridMultilevel"/>
    <w:tmpl w:val="AF8E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56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B2"/>
    <w:rsid w:val="00021D60"/>
    <w:rsid w:val="000631EF"/>
    <w:rsid w:val="00071B84"/>
    <w:rsid w:val="000954F0"/>
    <w:rsid w:val="000A1811"/>
    <w:rsid w:val="000A2032"/>
    <w:rsid w:val="000D06A1"/>
    <w:rsid w:val="000F55C4"/>
    <w:rsid w:val="000F7D29"/>
    <w:rsid w:val="0010353A"/>
    <w:rsid w:val="001050BF"/>
    <w:rsid w:val="00114831"/>
    <w:rsid w:val="0012283F"/>
    <w:rsid w:val="001234E9"/>
    <w:rsid w:val="00187543"/>
    <w:rsid w:val="001919CF"/>
    <w:rsid w:val="001A3134"/>
    <w:rsid w:val="001B00BC"/>
    <w:rsid w:val="001B097A"/>
    <w:rsid w:val="001D7682"/>
    <w:rsid w:val="00236356"/>
    <w:rsid w:val="00237679"/>
    <w:rsid w:val="0024219D"/>
    <w:rsid w:val="00251048"/>
    <w:rsid w:val="002A65BB"/>
    <w:rsid w:val="002E11FB"/>
    <w:rsid w:val="002F04DB"/>
    <w:rsid w:val="00300582"/>
    <w:rsid w:val="003131DE"/>
    <w:rsid w:val="003354D8"/>
    <w:rsid w:val="00342896"/>
    <w:rsid w:val="003445FF"/>
    <w:rsid w:val="00376EFA"/>
    <w:rsid w:val="00393AE7"/>
    <w:rsid w:val="003C35A4"/>
    <w:rsid w:val="003C5563"/>
    <w:rsid w:val="00414C68"/>
    <w:rsid w:val="0041518E"/>
    <w:rsid w:val="00435BE7"/>
    <w:rsid w:val="00445DCF"/>
    <w:rsid w:val="0047122A"/>
    <w:rsid w:val="0048269A"/>
    <w:rsid w:val="00490433"/>
    <w:rsid w:val="004A3AED"/>
    <w:rsid w:val="004B5D18"/>
    <w:rsid w:val="004C1433"/>
    <w:rsid w:val="00507C5B"/>
    <w:rsid w:val="00525CC6"/>
    <w:rsid w:val="005A7291"/>
    <w:rsid w:val="005B1867"/>
    <w:rsid w:val="005D7C50"/>
    <w:rsid w:val="005E4E2F"/>
    <w:rsid w:val="005E7005"/>
    <w:rsid w:val="00617BFC"/>
    <w:rsid w:val="00625554"/>
    <w:rsid w:val="006733E3"/>
    <w:rsid w:val="006819B5"/>
    <w:rsid w:val="006D40D8"/>
    <w:rsid w:val="006D7B74"/>
    <w:rsid w:val="006E031B"/>
    <w:rsid w:val="006F0467"/>
    <w:rsid w:val="00701D53"/>
    <w:rsid w:val="00804629"/>
    <w:rsid w:val="00820271"/>
    <w:rsid w:val="00865259"/>
    <w:rsid w:val="00873210"/>
    <w:rsid w:val="008A554A"/>
    <w:rsid w:val="008E45BE"/>
    <w:rsid w:val="00920A15"/>
    <w:rsid w:val="00924532"/>
    <w:rsid w:val="009405B7"/>
    <w:rsid w:val="00943B94"/>
    <w:rsid w:val="00955948"/>
    <w:rsid w:val="00973B65"/>
    <w:rsid w:val="00986206"/>
    <w:rsid w:val="00996524"/>
    <w:rsid w:val="009A260B"/>
    <w:rsid w:val="009B2D83"/>
    <w:rsid w:val="009B5CA1"/>
    <w:rsid w:val="009C7FDD"/>
    <w:rsid w:val="00A03FA2"/>
    <w:rsid w:val="00A15B67"/>
    <w:rsid w:val="00A20B2B"/>
    <w:rsid w:val="00A36E96"/>
    <w:rsid w:val="00A3750E"/>
    <w:rsid w:val="00A767EB"/>
    <w:rsid w:val="00AA0B92"/>
    <w:rsid w:val="00AA27B2"/>
    <w:rsid w:val="00AC01F3"/>
    <w:rsid w:val="00AD1576"/>
    <w:rsid w:val="00AF517F"/>
    <w:rsid w:val="00B12D0A"/>
    <w:rsid w:val="00B233AD"/>
    <w:rsid w:val="00B35E01"/>
    <w:rsid w:val="00B6742B"/>
    <w:rsid w:val="00B957F7"/>
    <w:rsid w:val="00BB10D0"/>
    <w:rsid w:val="00BB5C73"/>
    <w:rsid w:val="00BE4F33"/>
    <w:rsid w:val="00C133C8"/>
    <w:rsid w:val="00C21700"/>
    <w:rsid w:val="00C47F45"/>
    <w:rsid w:val="00C509E9"/>
    <w:rsid w:val="00C5468D"/>
    <w:rsid w:val="00C55284"/>
    <w:rsid w:val="00C67D15"/>
    <w:rsid w:val="00C738B5"/>
    <w:rsid w:val="00C73C34"/>
    <w:rsid w:val="00C906BD"/>
    <w:rsid w:val="00C946DB"/>
    <w:rsid w:val="00CA27EA"/>
    <w:rsid w:val="00CC7B92"/>
    <w:rsid w:val="00D257FD"/>
    <w:rsid w:val="00D41D00"/>
    <w:rsid w:val="00D50EBA"/>
    <w:rsid w:val="00D636CB"/>
    <w:rsid w:val="00DB7AC3"/>
    <w:rsid w:val="00DD0129"/>
    <w:rsid w:val="00DF37D3"/>
    <w:rsid w:val="00DF6D0B"/>
    <w:rsid w:val="00E308FE"/>
    <w:rsid w:val="00E448C6"/>
    <w:rsid w:val="00E47C3C"/>
    <w:rsid w:val="00E5192D"/>
    <w:rsid w:val="00EA1F87"/>
    <w:rsid w:val="00EC7538"/>
    <w:rsid w:val="00EC7F20"/>
    <w:rsid w:val="00EE0C31"/>
    <w:rsid w:val="00EF0624"/>
    <w:rsid w:val="00EF1EF0"/>
    <w:rsid w:val="00F1245C"/>
    <w:rsid w:val="00F1444B"/>
    <w:rsid w:val="00F42EF9"/>
    <w:rsid w:val="00F51DC5"/>
    <w:rsid w:val="00FD2128"/>
    <w:rsid w:val="0ADB7D4F"/>
    <w:rsid w:val="271080D7"/>
    <w:rsid w:val="4C85CF57"/>
    <w:rsid w:val="6BCB69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5F5B"/>
  <w15:docId w15:val="{5FBAF70B-56DF-E841-ACC1-78B4CD4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34"/>
    <w:rPr>
      <w:rFonts w:ascii="Calibri" w:eastAsia="Calibri" w:hAnsi="Calibri" w:cs="Calibri"/>
      <w:sz w:val="24"/>
      <w:szCs w:val="24"/>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rsid w:val="001A3134"/>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865259"/>
    <w:pPr>
      <w:ind w:left="120"/>
    </w:pPr>
    <w:rPr>
      <w:rFonts w:ascii="Calibri Light" w:eastAsia="Calibri Light" w:hAnsi="Calibri Light" w:cs="Calibri Light"/>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97A"/>
    <w:pPr>
      <w:tabs>
        <w:tab w:val="center" w:pos="4680"/>
        <w:tab w:val="right" w:pos="9360"/>
      </w:tabs>
    </w:pPr>
  </w:style>
  <w:style w:type="character" w:customStyle="1" w:styleId="HeaderChar">
    <w:name w:val="Header Char"/>
    <w:basedOn w:val="DefaultParagraphFont"/>
    <w:link w:val="Header"/>
    <w:uiPriority w:val="99"/>
    <w:rsid w:val="001B097A"/>
    <w:rPr>
      <w:rFonts w:ascii="Calibri" w:eastAsia="Calibri" w:hAnsi="Calibri" w:cs="Calibri"/>
    </w:rPr>
  </w:style>
  <w:style w:type="paragraph" w:styleId="Footer">
    <w:name w:val="footer"/>
    <w:basedOn w:val="Normal"/>
    <w:link w:val="FooterChar"/>
    <w:uiPriority w:val="99"/>
    <w:unhideWhenUsed/>
    <w:rsid w:val="001B097A"/>
    <w:pPr>
      <w:tabs>
        <w:tab w:val="center" w:pos="4680"/>
        <w:tab w:val="right" w:pos="9360"/>
      </w:tabs>
    </w:pPr>
  </w:style>
  <w:style w:type="character" w:customStyle="1" w:styleId="FooterChar">
    <w:name w:val="Footer Char"/>
    <w:basedOn w:val="DefaultParagraphFont"/>
    <w:link w:val="Footer"/>
    <w:uiPriority w:val="99"/>
    <w:rsid w:val="001B097A"/>
    <w:rPr>
      <w:rFonts w:ascii="Calibri" w:eastAsia="Calibri" w:hAnsi="Calibri" w:cs="Calibri"/>
    </w:rPr>
  </w:style>
  <w:style w:type="character" w:styleId="CommentReference">
    <w:name w:val="annotation reference"/>
    <w:basedOn w:val="DefaultParagraphFont"/>
    <w:uiPriority w:val="99"/>
    <w:semiHidden/>
    <w:unhideWhenUsed/>
    <w:rsid w:val="00DD0129"/>
    <w:rPr>
      <w:sz w:val="16"/>
      <w:szCs w:val="16"/>
    </w:rPr>
  </w:style>
  <w:style w:type="paragraph" w:styleId="CommentText">
    <w:name w:val="annotation text"/>
    <w:basedOn w:val="Normal"/>
    <w:link w:val="CommentTextChar"/>
    <w:uiPriority w:val="99"/>
    <w:semiHidden/>
    <w:unhideWhenUsed/>
    <w:rsid w:val="00DD0129"/>
    <w:rPr>
      <w:sz w:val="20"/>
      <w:szCs w:val="20"/>
    </w:rPr>
  </w:style>
  <w:style w:type="character" w:customStyle="1" w:styleId="CommentTextChar">
    <w:name w:val="Comment Text Char"/>
    <w:basedOn w:val="DefaultParagraphFont"/>
    <w:link w:val="CommentText"/>
    <w:uiPriority w:val="99"/>
    <w:semiHidden/>
    <w:rsid w:val="00DD012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0129"/>
    <w:rPr>
      <w:b/>
      <w:bCs/>
    </w:rPr>
  </w:style>
  <w:style w:type="character" w:customStyle="1" w:styleId="CommentSubjectChar">
    <w:name w:val="Comment Subject Char"/>
    <w:basedOn w:val="CommentTextChar"/>
    <w:link w:val="CommentSubject"/>
    <w:uiPriority w:val="99"/>
    <w:semiHidden/>
    <w:rsid w:val="00DD0129"/>
    <w:rPr>
      <w:rFonts w:ascii="Calibri" w:eastAsia="Calibri" w:hAnsi="Calibri" w:cs="Calibri"/>
      <w:b/>
      <w:bCs/>
      <w:sz w:val="20"/>
      <w:szCs w:val="20"/>
    </w:rPr>
  </w:style>
  <w:style w:type="paragraph" w:styleId="Revision">
    <w:name w:val="Revision"/>
    <w:hidden/>
    <w:uiPriority w:val="99"/>
    <w:semiHidden/>
    <w:rsid w:val="002A65BB"/>
    <w:pPr>
      <w:widowControl/>
      <w:autoSpaceDE/>
      <w:autoSpaceDN/>
    </w:pPr>
    <w:rPr>
      <w:rFonts w:ascii="Calibri" w:eastAsia="Calibri" w:hAnsi="Calibri" w:cs="Calibri"/>
      <w:sz w:val="24"/>
      <w:szCs w:val="24"/>
    </w:rPr>
  </w:style>
  <w:style w:type="character" w:customStyle="1" w:styleId="normaltextrun">
    <w:name w:val="normaltextrun"/>
    <w:basedOn w:val="DefaultParagraphFont"/>
    <w:rsid w:val="00BB10D0"/>
  </w:style>
  <w:style w:type="character" w:customStyle="1" w:styleId="eop">
    <w:name w:val="eop"/>
    <w:basedOn w:val="DefaultParagraphFont"/>
    <w:rsid w:val="00BB10D0"/>
  </w:style>
  <w:style w:type="character" w:styleId="Hyperlink">
    <w:name w:val="Hyperlink"/>
    <w:basedOn w:val="DefaultParagraphFont"/>
    <w:uiPriority w:val="99"/>
    <w:unhideWhenUsed/>
    <w:rsid w:val="00BB1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vernance.usask.ca/governance/nomenclature.php"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df951/Library/Group%20Containers/UBF8T346G9.Office/User%20Content.localized/Templates.localized/USASK%20Polici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6e5404-dd68-4272-8c58-d3fcbbe2bcf0">
      <Terms xmlns="http://schemas.microsoft.com/office/infopath/2007/PartnerControls"/>
    </lcf76f155ced4ddcb4097134ff3c332f>
    <TaxCatchAll xmlns="16cca5a3-9359-4435-810d-8ed4cbbf51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3BB194FA1AA48807DAB143E3806A7" ma:contentTypeVersion="16" ma:contentTypeDescription="Create a new document." ma:contentTypeScope="" ma:versionID="2a71888dbdcf2a0110afc93083673cc2">
  <xsd:schema xmlns:xsd="http://www.w3.org/2001/XMLSchema" xmlns:xs="http://www.w3.org/2001/XMLSchema" xmlns:p="http://schemas.microsoft.com/office/2006/metadata/properties" xmlns:ns2="f96e5404-dd68-4272-8c58-d3fcbbe2bcf0" xmlns:ns3="16cca5a3-9359-4435-810d-8ed4cbbf514f" targetNamespace="http://schemas.microsoft.com/office/2006/metadata/properties" ma:root="true" ma:fieldsID="ab322666beb8c14654106bc6a33ae44d" ns2:_="" ns3:_="">
    <xsd:import namespace="f96e5404-dd68-4272-8c58-d3fcbbe2bcf0"/>
    <xsd:import namespace="16cca5a3-9359-4435-810d-8ed4cbbf5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e5404-dd68-4272-8c58-d3fcbbe2b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ca5a3-9359-4435-810d-8ed4cbbf51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005cd0-201d-444a-a00a-df4b8969bb36}" ma:internalName="TaxCatchAll" ma:showField="CatchAllData" ma:web="16cca5a3-9359-4435-810d-8ed4cbbf51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57DA3-F650-4AF2-9AFD-A6DEB95C2DDE}">
  <ds:schemaRefs>
    <ds:schemaRef ds:uri="http://schemas.microsoft.com/sharepoint/v3/contenttype/forms"/>
  </ds:schemaRefs>
</ds:datastoreItem>
</file>

<file path=customXml/itemProps2.xml><?xml version="1.0" encoding="utf-8"?>
<ds:datastoreItem xmlns:ds="http://schemas.openxmlformats.org/officeDocument/2006/customXml" ds:itemID="{CDD1896B-9957-4535-B4FB-C0340C628C94}">
  <ds:schemaRefs>
    <ds:schemaRef ds:uri="http://schemas.microsoft.com/office/2006/metadata/properties"/>
    <ds:schemaRef ds:uri="http://schemas.microsoft.com/office/infopath/2007/PartnerControls"/>
    <ds:schemaRef ds:uri="f96e5404-dd68-4272-8c58-d3fcbbe2bcf0"/>
    <ds:schemaRef ds:uri="16cca5a3-9359-4435-810d-8ed4cbbf514f"/>
  </ds:schemaRefs>
</ds:datastoreItem>
</file>

<file path=customXml/itemProps3.xml><?xml version="1.0" encoding="utf-8"?>
<ds:datastoreItem xmlns:ds="http://schemas.openxmlformats.org/officeDocument/2006/customXml" ds:itemID="{550321D6-C735-491E-A17E-9E566E967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e5404-dd68-4272-8c58-d3fcbbe2bcf0"/>
    <ds:schemaRef ds:uri="16cca5a3-9359-4435-810d-8ed4cbbf5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USASK Policies-template.dotx</Template>
  <TotalTime>7</TotalTime>
  <Pages>3</Pages>
  <Words>575</Words>
  <Characters>3282</Characters>
  <Application>Microsoft Office Word</Application>
  <DocSecurity>0</DocSecurity>
  <Lines>27</Lines>
  <Paragraphs>7</Paragraphs>
  <ScaleCrop>false</ScaleCrop>
  <Company>University of Saskatchewan</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Saskatchewan Policy</dc:title>
  <dc:creator>Freire, Danny</dc:creator>
  <dc:description/>
  <cp:lastModifiedBy>Freire, Danny</cp:lastModifiedBy>
  <cp:revision>8</cp:revision>
  <cp:lastPrinted>2025-03-16T17:23:00Z</cp:lastPrinted>
  <dcterms:created xsi:type="dcterms:W3CDTF">2025-07-10T21:33:00Z</dcterms:created>
  <dcterms:modified xsi:type="dcterms:W3CDTF">2025-07-10T21:54:00Z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19 for Word</vt:lpwstr>
  </property>
  <property fmtid="{D5CDD505-2E9C-101B-9397-08002B2CF9AE}" pid="4" name="LastSaved">
    <vt:filetime>2025-02-04T00:00:00Z</vt:filetime>
  </property>
  <property fmtid="{D5CDD505-2E9C-101B-9397-08002B2CF9AE}" pid="5" name="Producer">
    <vt:lpwstr>Adobe PDF Library 19.8.103</vt:lpwstr>
  </property>
  <property fmtid="{D5CDD505-2E9C-101B-9397-08002B2CF9AE}" pid="6" name="SourceModified">
    <vt:lpwstr>D:20181116172855</vt:lpwstr>
  </property>
  <property fmtid="{D5CDD505-2E9C-101B-9397-08002B2CF9AE}" pid="7" name="ContentTypeId">
    <vt:lpwstr>0x0101002F53BB194FA1AA48807DAB143E3806A7</vt:lpwstr>
  </property>
  <property fmtid="{D5CDD505-2E9C-101B-9397-08002B2CF9AE}" pid="8" name="MediaServiceImageTags">
    <vt:lpwstr/>
  </property>
</Properties>
</file>